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mallCaps w:val="1"/>
          <w:sz w:val="24"/>
          <w:szCs w:val="24"/>
        </w:rPr>
      </w:pPr>
      <w:r w:rsidDel="00000000" w:rsidR="00000000" w:rsidRPr="00000000">
        <w:rPr>
          <w:rtl w:val="0"/>
        </w:rPr>
      </w:r>
    </w:p>
    <w:tbl>
      <w:tblPr>
        <w:tblStyle w:val="Table1"/>
        <w:tblW w:w="9026.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026"/>
        <w:tblGridChange w:id="0">
          <w:tblGrid>
            <w:gridCol w:w="9026"/>
          </w:tblGrid>
        </w:tblGridChange>
      </w:tblGrid>
      <w:tr>
        <w:trPr>
          <w:cantSplit w:val="0"/>
          <w:trHeight w:val="3005.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mallCaps w:val="1"/>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171450</wp:posOffset>
                  </wp:positionH>
                  <wp:positionV relativeFrom="paragraph">
                    <wp:posOffset>0</wp:posOffset>
                  </wp:positionV>
                  <wp:extent cx="1647190" cy="1371600"/>
                  <wp:effectExtent b="0" l="0" r="0" t="0"/>
                  <wp:wrapNone/>
                  <wp:docPr descr="Crown Commercial Service" id="7"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tc>
      </w:tr>
    </w:tbl>
    <w:p w:rsidR="00000000" w:rsidDel="00000000" w:rsidP="00000000" w:rsidRDefault="00000000" w:rsidRPr="00000000" w14:paraId="00000003">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4">
      <w:pPr>
        <w:pageBreakBefore w:val="0"/>
        <w:rPr>
          <w:rFonts w:ascii="Arial" w:cs="Arial" w:eastAsia="Arial" w:hAnsi="Arial"/>
          <w:b w:val="1"/>
          <w:smallCaps w:val="1"/>
          <w:sz w:val="24"/>
          <w:szCs w:val="24"/>
        </w:rPr>
      </w:pPr>
      <w:r w:rsidDel="00000000" w:rsidR="00000000" w:rsidRPr="00000000">
        <w:rPr>
          <w:rtl w:val="0"/>
        </w:rPr>
      </w:r>
    </w:p>
    <w:tbl>
      <w:tblPr>
        <w:tblStyle w:val="Table2"/>
        <w:tblW w:w="9026.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pStyle w:val="Heading1"/>
              <w:widowControl w:val="0"/>
              <w:spacing w:after="60" w:before="60" w:line="240" w:lineRule="auto"/>
              <w:rPr>
                <w:color w:val="366091"/>
                <w:sz w:val="90"/>
                <w:szCs w:val="90"/>
              </w:rPr>
            </w:pPr>
            <w:bookmarkStart w:colFirst="0" w:colLast="0" w:name="_heading=h.sybi5b5syy3l" w:id="0"/>
            <w:bookmarkEnd w:id="0"/>
            <w:r w:rsidDel="00000000" w:rsidR="00000000" w:rsidRPr="00000000">
              <w:rPr>
                <w:color w:val="366091"/>
                <w:sz w:val="90"/>
                <w:szCs w:val="90"/>
                <w:rtl w:val="0"/>
              </w:rPr>
              <w:t xml:space="preserve">Framework </w:t>
            </w:r>
          </w:p>
          <w:p w:rsidR="00000000" w:rsidDel="00000000" w:rsidP="00000000" w:rsidRDefault="00000000" w:rsidRPr="00000000" w14:paraId="00000006">
            <w:pPr>
              <w:pStyle w:val="Heading1"/>
              <w:widowControl w:val="0"/>
              <w:spacing w:after="60" w:before="60" w:line="240" w:lineRule="auto"/>
              <w:rPr>
                <w:color w:val="366091"/>
                <w:sz w:val="90"/>
                <w:szCs w:val="90"/>
              </w:rPr>
            </w:pPr>
            <w:bookmarkStart w:colFirst="0" w:colLast="0" w:name="_heading=h.bad72yg43ejs" w:id="1"/>
            <w:bookmarkEnd w:id="1"/>
            <w:r w:rsidDel="00000000" w:rsidR="00000000" w:rsidRPr="00000000">
              <w:rPr>
                <w:color w:val="366091"/>
                <w:sz w:val="90"/>
                <w:szCs w:val="90"/>
                <w:rtl w:val="0"/>
              </w:rPr>
              <w:t xml:space="preserve">Award Form </w:t>
            </w:r>
          </w:p>
          <w:p w:rsidR="00000000" w:rsidDel="00000000" w:rsidP="00000000" w:rsidRDefault="00000000" w:rsidRPr="00000000" w14:paraId="00000007">
            <w:pPr>
              <w:pStyle w:val="Heading1"/>
              <w:widowControl w:val="0"/>
              <w:spacing w:after="60" w:before="60" w:line="240" w:lineRule="auto"/>
              <w:rPr>
                <w:color w:val="366091"/>
                <w:sz w:val="90"/>
                <w:szCs w:val="90"/>
              </w:rPr>
            </w:pPr>
            <w:bookmarkStart w:colFirst="0" w:colLast="0" w:name="_heading=h.y4fm1ueka83w" w:id="2"/>
            <w:bookmarkEnd w:id="2"/>
            <w:r w:rsidDel="00000000" w:rsidR="00000000" w:rsidRPr="00000000">
              <w:rPr>
                <w:color w:val="366091"/>
                <w:sz w:val="90"/>
                <w:szCs w:val="90"/>
                <w:rtl w:val="0"/>
              </w:rPr>
              <w:t xml:space="preserve">RM6098</w:t>
            </w:r>
          </w:p>
        </w:tc>
      </w:tr>
    </w:tbl>
    <w:p w:rsidR="00000000" w:rsidDel="00000000" w:rsidP="00000000" w:rsidRDefault="00000000" w:rsidRPr="00000000" w14:paraId="00000008">
      <w:pPr>
        <w:pageBreakBefore w:val="0"/>
        <w:rPr>
          <w:rFonts w:ascii="Arial" w:cs="Arial" w:eastAsia="Arial" w:hAnsi="Arial"/>
          <w:b w:val="1"/>
          <w:smallCaps w:val="1"/>
          <w:sz w:val="24"/>
          <w:szCs w:val="24"/>
        </w:rPr>
        <w:sectPr>
          <w:headerReference r:id="rId8" w:type="default"/>
          <w:headerReference r:id="rId9" w:type="first"/>
          <w:footerReference r:id="rId10" w:type="default"/>
          <w:footerReference r:id="rId11" w:type="first"/>
          <w:pgSz w:h="16838" w:w="11906"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09">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RM6098 Technology Products &amp; Associated Services 2. It summarises the main features of the procurement and includes CCS and the Supplier’s contact details.</w:t>
      </w:r>
    </w:p>
    <w:tbl>
      <w:tblPr>
        <w:tblStyle w:val="Table3"/>
        <w:tblW w:w="9315.0" w:type="dxa"/>
        <w:jc w:val="left"/>
        <w:tblInd w:w="-162.99999999999997"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510"/>
        <w:gridCol w:w="2115"/>
        <w:gridCol w:w="6690"/>
        <w:tblGridChange w:id="0">
          <w:tblGrid>
            <w:gridCol w:w="510"/>
            <w:gridCol w:w="2115"/>
            <w:gridCol w:w="6690"/>
          </w:tblGrid>
        </w:tblGridChange>
      </w:tblGrid>
      <w:tr>
        <w:trPr>
          <w:cantSplit w:val="0"/>
          <w:trHeight w:val="1072" w:hRule="atLeast"/>
          <w:tblHeader w:val="0"/>
        </w:trPr>
        <w:tc>
          <w:tcPr/>
          <w:p w:rsidR="00000000" w:rsidDel="00000000" w:rsidP="00000000" w:rsidRDefault="00000000" w:rsidRPr="00000000" w14:paraId="0000000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10">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1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bl>
            <w:tblPr>
              <w:tblStyle w:val="Table4"/>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14">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15">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7">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8">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9">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B">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w:t>
                  </w:r>
                  <w:r w:rsidDel="00000000" w:rsidR="00000000" w:rsidRPr="00000000">
                    <w:rPr>
                      <w:rFonts w:ascii="Arial" w:cs="Arial" w:eastAsia="Arial" w:hAnsi="Arial"/>
                      <w:sz w:val="20"/>
                      <w:szCs w:val="20"/>
                      <w:rtl w:val="0"/>
                    </w:rPr>
                    <w:t xml:space="preserve">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D">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between CCS and the Supplier allows the Supplier to be considered for Call-off Contracts to supply the Deliverables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Hardware and Software and Associated Services</w:t>
            </w:r>
          </w:p>
          <w:p w:rsidR="00000000" w:rsidDel="00000000" w:rsidP="00000000" w:rsidRDefault="00000000" w:rsidRPr="00000000" w14:paraId="00000024">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Hardware </w:t>
            </w:r>
          </w:p>
          <w:p w:rsidR="00000000" w:rsidDel="00000000" w:rsidP="00000000" w:rsidRDefault="00000000" w:rsidRPr="00000000" w14:paraId="00000025">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Software </w:t>
            </w:r>
          </w:p>
          <w:p w:rsidR="00000000" w:rsidDel="00000000" w:rsidP="00000000" w:rsidRDefault="00000000" w:rsidRPr="00000000" w14:paraId="00000026">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Information Assured Technology</w:t>
            </w:r>
          </w:p>
          <w:p w:rsidR="00000000" w:rsidDel="00000000" w:rsidP="00000000" w:rsidRDefault="00000000" w:rsidRPr="00000000" w14:paraId="00000027">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Health and Social Care Technology</w:t>
            </w:r>
          </w:p>
          <w:p w:rsidR="00000000" w:rsidDel="00000000" w:rsidP="00000000" w:rsidRDefault="00000000" w:rsidRPr="00000000" w14:paraId="00000028">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6 Education Technology </w:t>
            </w:r>
          </w:p>
          <w:p w:rsidR="00000000" w:rsidDel="00000000" w:rsidP="00000000" w:rsidRDefault="00000000" w:rsidRPr="00000000" w14:paraId="0000002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7 Sustainability and Circular IT</w:t>
            </w:r>
          </w:p>
          <w:p w:rsidR="00000000" w:rsidDel="00000000" w:rsidP="00000000" w:rsidRDefault="00000000" w:rsidRPr="00000000" w14:paraId="0000002A">
            <w:pPr>
              <w:spacing w:after="0" w:line="240" w:lineRule="auto"/>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Lot 8 Technology Catalogue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cannot deliver in any other Lot under this contract. Any references made to other Lots in this contract do not apply.</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sz w:val="24"/>
                <w:szCs w:val="24"/>
                <w:u w:val="none"/>
                <w:shd w:fill="auto" w:val="clear"/>
                <w:vertAlign w:val="baseline"/>
              </w:rPr>
            </w:pPr>
            <w:bookmarkStart w:colFirst="0" w:colLast="0" w:name="_heading=h.gjdgxs"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opportunity is advertised in the Contract Notice in the Find a Tender Service reference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reference number] (FTS Contract Notice).</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30">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Framework Schedule 1 (Specification) for further details.</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3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3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w:t>
            </w:r>
          </w:p>
        </w:tc>
        <w:tc>
          <w:tcPr/>
          <w:p w:rsidR="00000000" w:rsidDel="00000000" w:rsidP="00000000" w:rsidRDefault="00000000" w:rsidRPr="00000000" w14:paraId="00000042">
            <w:pPr>
              <w:spacing w:after="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18 month</w:t>
            </w:r>
            <w:r w:rsidDel="00000000" w:rsidR="00000000" w:rsidRPr="00000000">
              <w:rPr>
                <w:rFonts w:ascii="Arial" w:cs="Arial" w:eastAsia="Arial" w:hAnsi="Arial"/>
                <w:color w:val="000000"/>
                <w:sz w:val="24"/>
                <w:szCs w:val="24"/>
                <w:rtl w:val="0"/>
              </w:rPr>
              <w:t xml:space="preserve"> additional period</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4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Procedure</w:t>
            </w:r>
            <w:r w:rsidDel="00000000" w:rsidR="00000000" w:rsidRPr="00000000">
              <w:rPr>
                <w:rtl w:val="0"/>
              </w:rPr>
            </w:r>
          </w:p>
        </w:tc>
        <w:tc>
          <w:tcPr/>
          <w:p w:rsidR="00000000" w:rsidDel="00000000" w:rsidP="00000000" w:rsidRDefault="00000000" w:rsidRPr="00000000" w14:paraId="00000046">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Hardware and Software and Associated Services</w:t>
            </w:r>
          </w:p>
          <w:p w:rsidR="00000000" w:rsidDel="00000000" w:rsidP="00000000" w:rsidRDefault="00000000" w:rsidRPr="00000000" w14:paraId="00000047">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Hardware </w:t>
            </w:r>
          </w:p>
          <w:p w:rsidR="00000000" w:rsidDel="00000000" w:rsidP="00000000" w:rsidRDefault="00000000" w:rsidRPr="00000000" w14:paraId="00000048">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Software </w:t>
            </w:r>
          </w:p>
          <w:p w:rsidR="00000000" w:rsidDel="00000000" w:rsidP="00000000" w:rsidRDefault="00000000" w:rsidRPr="00000000" w14:paraId="0000004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Information Assured Technology</w:t>
            </w:r>
          </w:p>
          <w:p w:rsidR="00000000" w:rsidDel="00000000" w:rsidP="00000000" w:rsidRDefault="00000000" w:rsidRPr="00000000" w14:paraId="0000004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Health and Social Care Technology</w:t>
            </w:r>
          </w:p>
          <w:p w:rsidR="00000000" w:rsidDel="00000000" w:rsidP="00000000" w:rsidRDefault="00000000" w:rsidRPr="00000000" w14:paraId="0000004B">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6 Education Technology </w:t>
            </w:r>
          </w:p>
          <w:p w:rsidR="00000000" w:rsidDel="00000000" w:rsidP="00000000" w:rsidRDefault="00000000" w:rsidRPr="00000000" w14:paraId="0000004C">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7 Sustainability and Circular IT</w:t>
            </w:r>
          </w:p>
          <w:p w:rsidR="00000000" w:rsidDel="00000000" w:rsidP="00000000" w:rsidRDefault="00000000" w:rsidRPr="00000000" w14:paraId="0000004D">
            <w:pPr>
              <w:spacing w:after="0" w:line="240" w:lineRule="auto"/>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Lot 8 Technology Catalogue</w:t>
            </w:r>
            <w:r w:rsidDel="00000000" w:rsidR="00000000" w:rsidRPr="00000000">
              <w:rPr>
                <w:rtl w:val="0"/>
              </w:rPr>
            </w:r>
          </w:p>
          <w:p w:rsidR="00000000" w:rsidDel="00000000" w:rsidP="00000000" w:rsidRDefault="00000000" w:rsidRPr="00000000" w14:paraId="0000004E">
            <w:pPr>
              <w:spacing w:after="0" w:line="240" w:lineRule="auto"/>
              <w:ind w:left="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spacing w:after="0" w:lineRule="auto"/>
              <w:ind w:right="936"/>
              <w:rPr>
                <w:rFonts w:ascii="Arial" w:cs="Arial" w:eastAsia="Arial" w:hAnsi="Arial"/>
                <w:color w:val="000000"/>
              </w:rPr>
            </w:pPr>
            <w:r w:rsidDel="00000000" w:rsidR="00000000" w:rsidRPr="00000000">
              <w:rPr>
                <w:rFonts w:ascii="Arial" w:cs="Arial" w:eastAsia="Arial" w:hAnsi="Arial"/>
                <w:color w:val="000000"/>
                <w:rtl w:val="0"/>
              </w:rPr>
              <w:t xml:space="preserve">See Framework Schedule 7 (Call-off Award Procedure)</w:t>
            </w:r>
          </w:p>
          <w:p w:rsidR="00000000" w:rsidDel="00000000" w:rsidP="00000000" w:rsidRDefault="00000000" w:rsidRPr="00000000" w14:paraId="00000050">
            <w:pPr>
              <w:spacing w:after="0" w:lineRule="auto"/>
              <w:ind w:right="936"/>
              <w:rPr>
                <w:rFonts w:ascii="Arial" w:cs="Arial" w:eastAsia="Arial" w:hAnsi="Arial"/>
                <w:color w:val="000000"/>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5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 </w:t>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i w:val="0"/>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5">
            <w:pPr>
              <w:spacing w:after="0" w:lineRule="auto"/>
              <w:rPr>
                <w:rFonts w:ascii="Arial" w:cs="Arial" w:eastAsia="Arial" w:hAnsi="Arial"/>
                <w:color w:val="000000"/>
                <w:sz w:val="24"/>
                <w:szCs w:val="24"/>
              </w:rPr>
            </w:pPr>
            <w:r w:rsidDel="00000000" w:rsidR="00000000" w:rsidRPr="00000000">
              <w:rPr>
                <w:rFonts w:ascii="Arial" w:cs="Arial" w:eastAsia="Arial" w:hAnsi="Arial"/>
                <w:i w:val="0"/>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6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Award Form</w:t>
            </w:r>
          </w:p>
          <w:p w:rsidR="00000000" w:rsidDel="00000000" w:rsidP="00000000" w:rsidRDefault="00000000" w:rsidRPr="00000000" w14:paraId="0000006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Framework Special Terms (see Section 10 ‘Framework Special Terms’ in this Framework Award Form)</w:t>
            </w:r>
          </w:p>
          <w:p w:rsidR="00000000" w:rsidDel="00000000" w:rsidP="00000000" w:rsidRDefault="00000000" w:rsidRPr="00000000" w14:paraId="0000006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w:t>
            </w:r>
            <w:r w:rsidDel="00000000" w:rsidR="00000000" w:rsidRPr="00000000">
              <w:rPr>
                <w:rFonts w:ascii="Arial" w:cs="Arial" w:eastAsia="Arial" w:hAnsi="Arial"/>
                <w:color w:val="000000"/>
                <w:sz w:val="24"/>
                <w:szCs w:val="24"/>
                <w:rtl w:val="0"/>
              </w:rPr>
              <w:t xml:space="preserve"> RM6098 </w:t>
            </w:r>
            <w:r w:rsidDel="00000000" w:rsidR="00000000" w:rsidRPr="00000000">
              <w:rPr>
                <w:rtl w:val="0"/>
              </w:rPr>
            </w:r>
          </w:p>
          <w:p w:rsidR="00000000" w:rsidDel="00000000" w:rsidP="00000000" w:rsidRDefault="00000000" w:rsidRPr="00000000" w14:paraId="0000006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color w:val="000000"/>
                <w:sz w:val="24"/>
                <w:szCs w:val="24"/>
                <w:rtl w:val="0"/>
              </w:rPr>
              <w:t xml:space="preserve">Joint Schedule 11 (Processing Data) RM6098</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6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color w:val="000000"/>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for </w:t>
            </w:r>
            <w:r w:rsidDel="00000000" w:rsidR="00000000" w:rsidRPr="00000000">
              <w:rPr>
                <w:rFonts w:ascii="Arial" w:cs="Arial" w:eastAsia="Arial" w:hAnsi="Arial"/>
                <w:color w:val="000000"/>
                <w:sz w:val="24"/>
                <w:szCs w:val="24"/>
                <w:rtl w:val="0"/>
              </w:rPr>
              <w:t xml:space="preserve">RM6098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equal order of precedence):</w:t>
            </w:r>
            <w:r w:rsidDel="00000000" w:rsidR="00000000" w:rsidRPr="00000000">
              <w:rPr>
                <w:rtl w:val="0"/>
              </w:rPr>
            </w:r>
          </w:p>
          <w:p w:rsidR="00000000" w:rsidDel="00000000" w:rsidP="00000000" w:rsidRDefault="00000000" w:rsidRPr="00000000" w14:paraId="0000006B">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1 (Specification) </w:t>
            </w:r>
          </w:p>
          <w:p w:rsidR="00000000" w:rsidDel="00000000" w:rsidP="00000000" w:rsidRDefault="00000000" w:rsidRPr="00000000" w14:paraId="0000006C">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3 (Framework Prices)</w:t>
            </w:r>
          </w:p>
          <w:p w:rsidR="00000000" w:rsidDel="00000000" w:rsidP="00000000" w:rsidRDefault="00000000" w:rsidRPr="00000000" w14:paraId="0000006D">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4 (Framework Management)</w:t>
            </w:r>
          </w:p>
          <w:p w:rsidR="00000000" w:rsidDel="00000000" w:rsidP="00000000" w:rsidRDefault="00000000" w:rsidRPr="00000000" w14:paraId="0000006E">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5 (Management Charges and Information)</w:t>
            </w:r>
          </w:p>
          <w:p w:rsidR="00000000" w:rsidDel="00000000" w:rsidP="00000000" w:rsidRDefault="00000000" w:rsidRPr="00000000" w14:paraId="0000006F">
            <w:pPr>
              <w:keepNext w:val="0"/>
              <w:keepLines w:val="0"/>
              <w:widowControl w:val="1"/>
              <w:numPr>
                <w:ilvl w:val="1"/>
                <w:numId w:val="8"/>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6/6</w:t>
            </w:r>
            <w:r w:rsidDel="00000000" w:rsidR="00000000" w:rsidRPr="00000000">
              <w:rPr>
                <w:rFonts w:ascii="Arial" w:cs="Arial" w:eastAsia="Arial" w:hAnsi="Arial"/>
                <w:color w:val="000000"/>
                <w:sz w:val="24"/>
                <w:szCs w:val="24"/>
                <w:rtl w:val="0"/>
              </w:rPr>
              <w:t xml:space="preserve">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(Order Form Template and Call-Off Schedules) including the following template Call-Off Schedules: </w:t>
            </w:r>
          </w:p>
          <w:p w:rsidR="00000000" w:rsidDel="00000000" w:rsidP="00000000" w:rsidRDefault="00000000" w:rsidRPr="00000000" w14:paraId="0000007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7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7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7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4 (Call-Off Tender)</w:t>
              <w:tab/>
              <w:tab/>
            </w:r>
            <w:r w:rsidDel="00000000" w:rsidR="00000000" w:rsidRPr="00000000">
              <w:rPr>
                <w:rtl w:val="0"/>
              </w:rPr>
            </w:r>
          </w:p>
          <w:p w:rsidR="00000000" w:rsidDel="00000000" w:rsidP="00000000" w:rsidRDefault="00000000" w:rsidRPr="00000000" w14:paraId="0000007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5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Pricing Details)</w:t>
            </w:r>
            <w:r w:rsidDel="00000000" w:rsidR="00000000" w:rsidRPr="00000000">
              <w:rPr>
                <w:rtl w:val="0"/>
              </w:rPr>
            </w:r>
          </w:p>
          <w:p w:rsidR="00000000" w:rsidDel="00000000" w:rsidP="00000000" w:rsidRDefault="00000000" w:rsidRPr="00000000" w14:paraId="0000007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6 (ICT Services) and its </w:t>
            </w:r>
            <w:r w:rsidDel="00000000" w:rsidR="00000000" w:rsidRPr="00000000">
              <w:rPr>
                <w:rFonts w:ascii="Arial" w:cs="Arial" w:eastAsia="Arial" w:hAnsi="Arial"/>
                <w:color w:val="000000"/>
                <w:sz w:val="24"/>
                <w:szCs w:val="24"/>
                <w:highlight w:val="white"/>
                <w:rtl w:val="0"/>
              </w:rPr>
              <w:t xml:space="preserve">Annexes A to 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tab/>
              <w:tab/>
            </w:r>
            <w:r w:rsidDel="00000000" w:rsidR="00000000" w:rsidRPr="00000000">
              <w:rPr>
                <w:rtl w:val="0"/>
              </w:rPr>
            </w:r>
          </w:p>
          <w:p w:rsidR="00000000" w:rsidDel="00000000" w:rsidP="00000000" w:rsidRDefault="00000000" w:rsidRPr="00000000" w14:paraId="0000007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7 (Key Supplier Staff)</w:t>
            </w:r>
            <w:r w:rsidDel="00000000" w:rsidR="00000000" w:rsidRPr="00000000">
              <w:rPr>
                <w:rtl w:val="0"/>
              </w:rPr>
            </w:r>
          </w:p>
          <w:p w:rsidR="00000000" w:rsidDel="00000000" w:rsidP="00000000" w:rsidRDefault="00000000" w:rsidRPr="00000000" w14:paraId="0000007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8 (Business Continuity and Disaster Recovery) </w:t>
            </w:r>
            <w:r w:rsidDel="00000000" w:rsidR="00000000" w:rsidRPr="00000000">
              <w:rPr>
                <w:rtl w:val="0"/>
              </w:rPr>
            </w:r>
          </w:p>
          <w:p w:rsidR="00000000" w:rsidDel="00000000" w:rsidP="00000000" w:rsidRDefault="00000000" w:rsidRPr="00000000" w14:paraId="0000007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9 (Security)</w:t>
              <w:tab/>
              <w:tab/>
              <w:t xml:space="preserve"> </w:t>
              <w:tab/>
              <w:t xml:space="preserve"> </w:t>
            </w:r>
            <w:r w:rsidDel="00000000" w:rsidR="00000000" w:rsidRPr="00000000">
              <w:rPr>
                <w:rtl w:val="0"/>
              </w:rPr>
            </w:r>
          </w:p>
          <w:p w:rsidR="00000000" w:rsidDel="00000000" w:rsidP="00000000" w:rsidRDefault="00000000" w:rsidRPr="00000000" w14:paraId="0000007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10 (Exit Management) </w:t>
              <w:tab/>
            </w:r>
            <w:r w:rsidDel="00000000" w:rsidR="00000000" w:rsidRPr="00000000">
              <w:rPr>
                <w:rtl w:val="0"/>
              </w:rPr>
            </w:r>
          </w:p>
          <w:p w:rsidR="00000000" w:rsidDel="00000000" w:rsidP="00000000" w:rsidRDefault="00000000" w:rsidRPr="00000000" w14:paraId="0000007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11 (Installation Works) </w:t>
              <w:tab/>
            </w:r>
            <w:r w:rsidDel="00000000" w:rsidR="00000000" w:rsidRPr="00000000">
              <w:rPr>
                <w:rtl w:val="0"/>
              </w:rPr>
            </w:r>
          </w:p>
          <w:p w:rsidR="00000000" w:rsidDel="00000000" w:rsidP="00000000" w:rsidRDefault="00000000" w:rsidRPr="00000000" w14:paraId="0000007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12 (Clustering) </w:t>
              <w:tab/>
              <w:tab/>
            </w:r>
            <w:r w:rsidDel="00000000" w:rsidR="00000000" w:rsidRPr="00000000">
              <w:rPr>
                <w:rtl w:val="0"/>
              </w:rPr>
            </w:r>
          </w:p>
          <w:p w:rsidR="00000000" w:rsidDel="00000000" w:rsidP="00000000" w:rsidRDefault="00000000" w:rsidRPr="00000000" w14:paraId="0000007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13 (Implementation Plan and Testing)</w:t>
            </w:r>
            <w:r w:rsidDel="00000000" w:rsidR="00000000" w:rsidRPr="00000000">
              <w:rPr>
                <w:rtl w:val="0"/>
              </w:rPr>
            </w:r>
          </w:p>
          <w:p w:rsidR="00000000" w:rsidDel="00000000" w:rsidP="00000000" w:rsidRDefault="00000000" w:rsidRPr="00000000" w14:paraId="0000007D">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14 (Service Levels) </w:t>
              <w:tab/>
              <w:tab/>
            </w:r>
            <w:r w:rsidDel="00000000" w:rsidR="00000000" w:rsidRPr="00000000">
              <w:rPr>
                <w:rtl w:val="0"/>
              </w:rPr>
            </w:r>
          </w:p>
          <w:p w:rsidR="00000000" w:rsidDel="00000000" w:rsidP="00000000" w:rsidRDefault="00000000" w:rsidRPr="00000000" w14:paraId="0000007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7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16 (Benchmarking)</w:t>
            </w:r>
            <w:r w:rsidDel="00000000" w:rsidR="00000000" w:rsidRPr="00000000">
              <w:rPr>
                <w:rtl w:val="0"/>
              </w:rPr>
            </w:r>
          </w:p>
          <w:p w:rsidR="00000000" w:rsidDel="00000000" w:rsidP="00000000" w:rsidRDefault="00000000" w:rsidRPr="00000000" w14:paraId="0000008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17 (MOD Terms) </w:t>
              <w:tab/>
              <w:tab/>
              <w:t xml:space="preserve">               </w:t>
            </w:r>
            <w:r w:rsidDel="00000000" w:rsidR="00000000" w:rsidRPr="00000000">
              <w:rPr>
                <w:rtl w:val="0"/>
              </w:rPr>
            </w:r>
          </w:p>
          <w:p w:rsidR="00000000" w:rsidDel="00000000" w:rsidP="00000000" w:rsidRDefault="00000000" w:rsidRPr="00000000" w14:paraId="00000081">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18 (Background Checks) </w:t>
              <w:tab/>
            </w:r>
            <w:r w:rsidDel="00000000" w:rsidR="00000000" w:rsidRPr="00000000">
              <w:rPr>
                <w:rtl w:val="0"/>
              </w:rPr>
            </w:r>
          </w:p>
          <w:p w:rsidR="00000000" w:rsidDel="00000000" w:rsidP="00000000" w:rsidRDefault="00000000" w:rsidRPr="00000000" w14:paraId="0000008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19 (Scottish Law)</w:t>
              <w:tab/>
              <w:tab/>
              <w:t xml:space="preserve">      </w:t>
            </w:r>
            <w:r w:rsidDel="00000000" w:rsidR="00000000" w:rsidRPr="00000000">
              <w:rPr>
                <w:rtl w:val="0"/>
              </w:rPr>
            </w:r>
          </w:p>
          <w:p w:rsidR="00000000" w:rsidDel="00000000" w:rsidP="00000000" w:rsidRDefault="00000000" w:rsidRPr="00000000" w14:paraId="0000008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20 (Call-Off Specification)   </w:t>
            </w:r>
            <w:r w:rsidDel="00000000" w:rsidR="00000000" w:rsidRPr="00000000">
              <w:rPr>
                <w:rtl w:val="0"/>
              </w:rPr>
            </w:r>
          </w:p>
          <w:p w:rsidR="00000000" w:rsidDel="00000000" w:rsidP="00000000" w:rsidRDefault="00000000" w:rsidRPr="00000000" w14:paraId="0000008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21 (Northern Ireland Law)    </w:t>
            </w:r>
            <w:r w:rsidDel="00000000" w:rsidR="00000000" w:rsidRPr="00000000">
              <w:rPr>
                <w:rtl w:val="0"/>
              </w:rPr>
            </w:r>
          </w:p>
          <w:p w:rsidR="00000000" w:rsidDel="00000000" w:rsidP="00000000" w:rsidRDefault="00000000" w:rsidRPr="00000000" w14:paraId="0000008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22 (Lease Terms)                </w:t>
            </w:r>
            <w:r w:rsidDel="00000000" w:rsidR="00000000" w:rsidRPr="00000000">
              <w:rPr>
                <w:rtl w:val="0"/>
              </w:rPr>
            </w:r>
          </w:p>
          <w:p w:rsidR="00000000" w:rsidDel="00000000" w:rsidP="00000000" w:rsidRDefault="00000000" w:rsidRPr="00000000" w14:paraId="0000008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0" w:before="0" w:line="259" w:lineRule="auto"/>
              <w:ind w:left="1559.0551181102364" w:right="0" w:hanging="360"/>
              <w:jc w:val="left"/>
              <w:rPr>
                <w:rFonts w:ascii="Arial" w:cs="Arial" w:eastAsia="Arial" w:hAnsi="Arial"/>
                <w:color w:val="000000"/>
                <w:sz w:val="24"/>
                <w:szCs w:val="24"/>
                <w:highlight w:val="white"/>
                <w:u w:val="none"/>
              </w:rPr>
            </w:pPr>
            <w:r w:rsidDel="00000000" w:rsidR="00000000" w:rsidRPr="00000000">
              <w:rPr>
                <w:rFonts w:ascii="Arial" w:cs="Arial" w:eastAsia="Arial" w:hAnsi="Arial"/>
                <w:color w:val="000000"/>
                <w:sz w:val="24"/>
                <w:szCs w:val="24"/>
                <w:highlight w:val="white"/>
                <w:rtl w:val="0"/>
              </w:rPr>
              <w:t xml:space="preserve">Call-Off Schedule 23 (HMRC Terms) </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7 (Call-Off Award Procedure)</w:t>
            </w:r>
            <w:r w:rsidDel="00000000" w:rsidR="00000000" w:rsidRPr="00000000">
              <w:rPr>
                <w:rtl w:val="0"/>
              </w:rPr>
            </w:r>
          </w:p>
          <w:p w:rsidR="00000000" w:rsidDel="00000000" w:rsidP="00000000" w:rsidRDefault="00000000" w:rsidRPr="00000000" w14:paraId="00000089">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Schedule 8 (Self Audit Certificate)</w:t>
            </w:r>
            <w:r w:rsidDel="00000000" w:rsidR="00000000" w:rsidRPr="00000000">
              <w:rPr>
                <w:rtl w:val="0"/>
              </w:rPr>
            </w:r>
          </w:p>
          <w:p w:rsidR="00000000" w:rsidDel="00000000" w:rsidP="00000000" w:rsidRDefault="00000000" w:rsidRPr="00000000" w14:paraId="0000008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Framework Schedule 9 (Cyber Essentials Scheme) </w:t>
            </w:r>
            <w:r w:rsidDel="00000000" w:rsidR="00000000" w:rsidRPr="00000000">
              <w:rPr>
                <w:rtl w:val="0"/>
              </w:rPr>
            </w:r>
          </w:p>
          <w:p w:rsidR="00000000" w:rsidDel="00000000" w:rsidP="00000000" w:rsidRDefault="00000000" w:rsidRPr="00000000" w14:paraId="0000008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w:t>
            </w:r>
            <w:r w:rsidDel="00000000" w:rsidR="00000000" w:rsidRPr="00000000">
              <w:rPr>
                <w:rtl w:val="0"/>
              </w:rPr>
            </w:r>
          </w:p>
          <w:p w:rsidR="00000000" w:rsidDel="00000000" w:rsidP="00000000" w:rsidRDefault="00000000" w:rsidRPr="00000000" w14:paraId="0000008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r w:rsidDel="00000000" w:rsidR="00000000" w:rsidRPr="00000000">
              <w:rPr>
                <w:rtl w:val="0"/>
              </w:rPr>
            </w:r>
          </w:p>
          <w:p w:rsidR="00000000" w:rsidDel="00000000" w:rsidP="00000000" w:rsidRDefault="00000000" w:rsidRPr="00000000" w14:paraId="0000008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r w:rsidDel="00000000" w:rsidR="00000000" w:rsidRPr="00000000">
              <w:rPr>
                <w:rtl w:val="0"/>
              </w:rPr>
            </w:r>
          </w:p>
          <w:p w:rsidR="00000000" w:rsidDel="00000000" w:rsidP="00000000" w:rsidRDefault="00000000" w:rsidRPr="00000000" w14:paraId="0000008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6 (Key Subcontractors)</w:t>
            </w:r>
            <w:r w:rsidDel="00000000" w:rsidR="00000000" w:rsidRPr="00000000">
              <w:rPr>
                <w:rtl w:val="0"/>
              </w:rPr>
            </w:r>
          </w:p>
          <w:p w:rsidR="00000000" w:rsidDel="00000000" w:rsidP="00000000" w:rsidRDefault="00000000" w:rsidRPr="00000000" w14:paraId="0000008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9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w:t>
            </w:r>
            <w:r w:rsidDel="00000000" w:rsidR="00000000" w:rsidRPr="00000000">
              <w:rPr>
                <w:rtl w:val="0"/>
              </w:rPr>
            </w:r>
          </w:p>
          <w:p w:rsidR="00000000" w:rsidDel="00000000" w:rsidP="00000000" w:rsidRDefault="00000000" w:rsidRPr="00000000" w14:paraId="0000009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9 (Minimum Standards of Reliability)</w:t>
            </w:r>
            <w:r w:rsidDel="00000000" w:rsidR="00000000" w:rsidRPr="00000000">
              <w:rPr>
                <w:rtl w:val="0"/>
              </w:rPr>
            </w:r>
          </w:p>
          <w:p w:rsidR="00000000" w:rsidDel="00000000" w:rsidP="00000000" w:rsidRDefault="00000000" w:rsidRPr="00000000" w14:paraId="0000009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w:t>
            </w:r>
            <w:r w:rsidDel="00000000" w:rsidR="00000000" w:rsidRPr="00000000">
              <w:rPr>
                <w:rtl w:val="0"/>
              </w:rPr>
            </w:r>
          </w:p>
          <w:p w:rsidR="00000000" w:rsidDel="00000000" w:rsidP="00000000" w:rsidRDefault="00000000" w:rsidRPr="00000000" w14:paraId="0000009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992.125984251968"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12 (Supply Chain Visibility)</w:t>
            </w:r>
            <w:r w:rsidDel="00000000" w:rsidR="00000000" w:rsidRPr="00000000">
              <w:rPr>
                <w:rtl w:val="0"/>
              </w:rPr>
            </w:r>
          </w:p>
          <w:p w:rsidR="00000000" w:rsidDel="00000000" w:rsidP="00000000" w:rsidRDefault="00000000" w:rsidRPr="00000000" w14:paraId="00000094">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w:t>
            </w:r>
            <w:r w:rsidDel="00000000" w:rsidR="00000000" w:rsidRPr="00000000">
              <w:rPr>
                <w:rFonts w:ascii="Arial" w:cs="Arial" w:eastAsia="Arial" w:hAnsi="Arial"/>
                <w:color w:val="000000"/>
                <w:sz w:val="24"/>
                <w:szCs w:val="24"/>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5">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color w:val="000000"/>
                <w:sz w:val="24"/>
                <w:szCs w:val="24"/>
                <w:rtl w:val="0"/>
              </w:rPr>
              <w:t xml:space="preserve">RM6098</w:t>
            </w:r>
            <w:r w:rsidDel="00000000" w:rsidR="00000000" w:rsidRPr="00000000">
              <w:rPr>
                <w:rtl w:val="0"/>
              </w:rPr>
            </w:r>
          </w:p>
          <w:p w:rsidR="00000000" w:rsidDel="00000000" w:rsidP="00000000" w:rsidRDefault="00000000" w:rsidRPr="00000000" w14:paraId="00000096">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color w:val="000000"/>
                <w:sz w:val="24"/>
                <w:szCs w:val="24"/>
                <w:rtl w:val="0"/>
              </w:rPr>
              <w:t xml:space="preserve">Framework Schedule 2 (Framework Tender) RM6098 as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long as any part of the Framework Tender that offers a better commercial position for CCS or Buyers (as decided by CCS) take precedence over the documents above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9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C">
            <w:pPr>
              <w:spacing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1 </w:t>
            </w:r>
            <w:r w:rsidDel="00000000" w:rsidR="00000000" w:rsidRPr="00000000">
              <w:rPr>
                <w:rtl w:val="0"/>
              </w:rPr>
            </w:r>
          </w:p>
          <w:p w:rsidR="00000000" w:rsidDel="00000000" w:rsidP="00000000" w:rsidRDefault="00000000" w:rsidRPr="00000000" w14:paraId="0000009D">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3.1.1 – add the following  point as (h);</w:t>
            </w:r>
          </w:p>
          <w:p w:rsidR="00000000" w:rsidDel="00000000" w:rsidP="00000000" w:rsidRDefault="00000000" w:rsidRPr="00000000" w14:paraId="0000009E">
            <w:pPr>
              <w:spacing w:line="276"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“That meet the Test Success Criteria” </w:t>
            </w: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A1">
            <w:pPr>
              <w:spacing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2</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A2">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3.2.1 – add the following additional sentence;</w:t>
            </w:r>
          </w:p>
          <w:p w:rsidR="00000000" w:rsidDel="00000000" w:rsidP="00000000" w:rsidRDefault="00000000" w:rsidRPr="00000000" w14:paraId="000000A3">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Buyer must agree in writing to supply of Goods that are not new.”</w:t>
            </w:r>
          </w:p>
        </w:tc>
      </w:tr>
      <w:tr>
        <w:trPr>
          <w:cantSplit w:val="0"/>
          <w:trHeight w:val="690" w:hRule="atLeast"/>
          <w:tblHeader w:val="0"/>
        </w:trPr>
        <w:tc>
          <w:tcPr>
            <w:vMerge w:val="continue"/>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A6">
            <w:pPr>
              <w:spacing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3</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A7">
            <w:pP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3.2.2 – delete the Clause and replace with:</w:t>
            </w:r>
          </w:p>
          <w:p w:rsidR="00000000" w:rsidDel="00000000" w:rsidP="00000000" w:rsidRDefault="00000000" w:rsidRPr="00000000" w14:paraId="000000A8">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that all Goods ;</w:t>
            </w:r>
          </w:p>
          <w:p w:rsidR="00000000" w:rsidDel="00000000" w:rsidP="00000000" w:rsidRDefault="00000000" w:rsidRPr="00000000" w14:paraId="000000A9">
            <w:pPr>
              <w:numPr>
                <w:ilvl w:val="0"/>
                <w:numId w:val="3"/>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sourced directly from the manufacturer or an authorised reseller and;</w:t>
            </w:r>
            <w:r w:rsidDel="00000000" w:rsidR="00000000" w:rsidRPr="00000000">
              <w:rPr>
                <w:rtl w:val="0"/>
              </w:rPr>
            </w:r>
          </w:p>
          <w:p w:rsidR="00000000" w:rsidDel="00000000" w:rsidP="00000000" w:rsidRDefault="00000000" w:rsidRPr="00000000" w14:paraId="000000AA">
            <w:pPr>
              <w:numPr>
                <w:ilvl w:val="0"/>
                <w:numId w:val="1"/>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sold by manufacturer or with its consent within the UK and the European Economic Area ;</w:t>
            </w:r>
            <w:r w:rsidDel="00000000" w:rsidR="00000000" w:rsidRPr="00000000">
              <w:rPr>
                <w:rtl w:val="0"/>
              </w:rPr>
            </w:r>
          </w:p>
          <w:p w:rsidR="00000000" w:rsidDel="00000000" w:rsidP="00000000" w:rsidRDefault="00000000" w:rsidRPr="00000000" w14:paraId="000000AB">
            <w:pPr>
              <w:numPr>
                <w:ilvl w:val="0"/>
                <w:numId w:val="1"/>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necessary are accompanied by a valid software licence;</w:t>
            </w:r>
            <w:r w:rsidDel="00000000" w:rsidR="00000000" w:rsidRPr="00000000">
              <w:rPr>
                <w:rtl w:val="0"/>
              </w:rPr>
            </w:r>
          </w:p>
          <w:p w:rsidR="00000000" w:rsidDel="00000000" w:rsidP="00000000" w:rsidRDefault="00000000" w:rsidRPr="00000000" w14:paraId="000000AC">
            <w:pPr>
              <w:numPr>
                <w:ilvl w:val="0"/>
                <w:numId w:val="1"/>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eligible for manufacturer’s warranty ;</w:t>
            </w:r>
            <w:r w:rsidDel="00000000" w:rsidR="00000000" w:rsidRPr="00000000">
              <w:rPr>
                <w:rtl w:val="0"/>
              </w:rPr>
            </w:r>
          </w:p>
          <w:p w:rsidR="00000000" w:rsidDel="00000000" w:rsidP="00000000" w:rsidRDefault="00000000" w:rsidRPr="00000000" w14:paraId="000000AD">
            <w:pPr>
              <w:numPr>
                <w:ilvl w:val="0"/>
                <w:numId w:val="1"/>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eligible for manufacturer’s support services and;  </w:t>
            </w:r>
            <w:r w:rsidDel="00000000" w:rsidR="00000000" w:rsidRPr="00000000">
              <w:rPr>
                <w:rtl w:val="0"/>
              </w:rPr>
            </w:r>
          </w:p>
          <w:p w:rsidR="00000000" w:rsidDel="00000000" w:rsidP="00000000" w:rsidRDefault="00000000" w:rsidRPr="00000000" w14:paraId="000000AE">
            <w:pPr>
              <w:numPr>
                <w:ilvl w:val="0"/>
                <w:numId w:val="1"/>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reported back </w:t>
            </w:r>
            <w:r w:rsidDel="00000000" w:rsidR="00000000" w:rsidRPr="00000000">
              <w:rPr>
                <w:rFonts w:ascii="Arial" w:cs="Arial" w:eastAsia="Arial" w:hAnsi="Arial"/>
                <w:color w:val="000000"/>
                <w:sz w:val="24"/>
                <w:szCs w:val="24"/>
                <w:rtl w:val="0"/>
              </w:rPr>
              <w:t xml:space="preserve">to manufacturer</w:t>
            </w:r>
            <w:r w:rsidDel="00000000" w:rsidR="00000000" w:rsidRPr="00000000">
              <w:rPr>
                <w:rFonts w:ascii="Arial" w:cs="Arial" w:eastAsia="Arial" w:hAnsi="Arial"/>
                <w:color w:val="000000"/>
                <w:sz w:val="24"/>
                <w:szCs w:val="24"/>
                <w:rtl w:val="0"/>
              </w:rPr>
              <w:t xml:space="preserve"> as sold to the relevant Buyer.</w:t>
            </w:r>
            <w:r w:rsidDel="00000000" w:rsidR="00000000" w:rsidRPr="00000000">
              <w:rPr>
                <w:rtl w:val="0"/>
              </w:rPr>
            </w:r>
          </w:p>
          <w:p w:rsidR="00000000" w:rsidDel="00000000" w:rsidP="00000000" w:rsidRDefault="00000000" w:rsidRPr="00000000" w14:paraId="000000AF">
            <w:pPr>
              <w:spacing w:after="0"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0">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4</w:t>
            </w:r>
          </w:p>
          <w:p w:rsidR="00000000" w:rsidDel="00000000" w:rsidP="00000000" w:rsidRDefault="00000000" w:rsidRPr="00000000" w14:paraId="000000B1">
            <w:pPr>
              <w:spacing w:after="0" w:line="276"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2">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3.2.11 - Delete the Clause and replace with:</w:t>
            </w:r>
          </w:p>
          <w:p w:rsidR="00000000" w:rsidDel="00000000" w:rsidP="00000000" w:rsidRDefault="00000000" w:rsidRPr="00000000" w14:paraId="000000B3">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p>
          <w:p w:rsidR="00000000" w:rsidDel="00000000" w:rsidP="00000000" w:rsidRDefault="00000000" w:rsidRPr="00000000" w14:paraId="000000B4">
            <w:pPr>
              <w:spacing w:after="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5</w:t>
            </w:r>
          </w:p>
          <w:p w:rsidR="00000000" w:rsidDel="00000000" w:rsidP="00000000" w:rsidRDefault="00000000" w:rsidRPr="00000000" w14:paraId="000000B6">
            <w:pPr>
              <w:spacing w:after="0" w:line="276"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7">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3.2.13:</w:t>
            </w:r>
          </w:p>
          <w:p w:rsidR="00000000" w:rsidDel="00000000" w:rsidP="00000000" w:rsidRDefault="00000000" w:rsidRPr="00000000" w14:paraId="000000B8">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require that the Deliverables be subjected to the Tests specified in the Order Form.</w:t>
            </w:r>
          </w:p>
          <w:p w:rsidR="00000000" w:rsidDel="00000000" w:rsidP="00000000" w:rsidRDefault="00000000" w:rsidRPr="00000000" w14:paraId="000000B9">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the Deliverables are available for Testing at the start of the scheduled Test Period, and the Tests shall be carried out during the scheduled Test Period.</w:t>
            </w:r>
          </w:p>
          <w:p w:rsidR="00000000" w:rsidDel="00000000" w:rsidP="00000000" w:rsidRDefault="00000000" w:rsidRPr="00000000" w14:paraId="000000BA">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conducting the Tests will record them as successful and inform the other Party accordingly where the Test Success Criteria are met by the end of the scheduled Test Period.</w:t>
            </w:r>
          </w:p>
          <w:p w:rsidR="00000000" w:rsidDel="00000000" w:rsidP="00000000" w:rsidRDefault="00000000" w:rsidRPr="00000000" w14:paraId="000000BB">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conducting the Tests will record them as unsuccessful and inform the other Party accordingly where the Test Success Criteria are not met by the end of scheduled Test Period.</w:t>
            </w:r>
          </w:p>
          <w:p w:rsidR="00000000" w:rsidDel="00000000" w:rsidP="00000000" w:rsidRDefault="00000000" w:rsidRPr="00000000" w14:paraId="000000BC">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Clauses 5 and 20 of the Core terms, where the Test Success Criteria are not met within the scheduled Test Period the Buyer shall have the right either;</w:t>
            </w:r>
          </w:p>
          <w:p w:rsidR="00000000" w:rsidDel="00000000" w:rsidP="00000000" w:rsidRDefault="00000000" w:rsidRPr="00000000" w14:paraId="000000BD">
            <w:pPr>
              <w:numPr>
                <w:ilvl w:val="0"/>
                <w:numId w:val="4"/>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 the Supplier to correct the issues that resulted in failure to satisfy the Test Success Criteria, and to resubmit the relevant Deliverables for Testing</w:t>
            </w:r>
            <w:r w:rsidDel="00000000" w:rsidR="00000000" w:rsidRPr="00000000">
              <w:rPr>
                <w:rtl w:val="0"/>
              </w:rPr>
            </w:r>
          </w:p>
          <w:p w:rsidR="00000000" w:rsidDel="00000000" w:rsidP="00000000" w:rsidRDefault="00000000" w:rsidRPr="00000000" w14:paraId="000000BE">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BF">
            <w:pPr>
              <w:numPr>
                <w:ilvl w:val="0"/>
                <w:numId w:val="2"/>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notify the Supplier that testing has been satisfactorily completed subject to rectification of outstanding issues within a period specified by the Buyer. Failure to rectify the relevant issues within the period specified shall be a material Default</w:t>
            </w:r>
            <w:r w:rsidDel="00000000" w:rsidR="00000000" w:rsidRPr="00000000">
              <w:rPr>
                <w:rtl w:val="0"/>
              </w:rPr>
            </w:r>
          </w:p>
          <w:p w:rsidR="00000000" w:rsidDel="00000000" w:rsidP="00000000" w:rsidRDefault="00000000" w:rsidRPr="00000000" w14:paraId="000000C0">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C1">
            <w:pPr>
              <w:numPr>
                <w:ilvl w:val="0"/>
                <w:numId w:val="5"/>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reject the relevant Deliverables and to invoke Clause 3.2.12</w:t>
            </w:r>
            <w:r w:rsidDel="00000000" w:rsidR="00000000" w:rsidRPr="00000000">
              <w:rPr>
                <w:rtl w:val="0"/>
              </w:rPr>
            </w:r>
          </w:p>
          <w:p w:rsidR="00000000" w:rsidDel="00000000" w:rsidP="00000000" w:rsidRDefault="00000000" w:rsidRPr="00000000" w14:paraId="000000C2">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or;</w:t>
            </w:r>
          </w:p>
          <w:p w:rsidR="00000000" w:rsidDel="00000000" w:rsidP="00000000" w:rsidRDefault="00000000" w:rsidRPr="00000000" w14:paraId="000000C3">
            <w:pPr>
              <w:numPr>
                <w:ilvl w:val="0"/>
                <w:numId w:val="9"/>
              </w:numPr>
              <w:spacing w:after="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reject the relevant Deliverables treating this as a material default and invoking the Buyer’s termination right under Clause 10.4.1”</w:t>
            </w:r>
            <w:r w:rsidDel="00000000" w:rsidR="00000000" w:rsidRPr="00000000">
              <w:rPr>
                <w:rtl w:val="0"/>
              </w:rPr>
            </w:r>
          </w:p>
          <w:p w:rsidR="00000000" w:rsidDel="00000000" w:rsidP="00000000" w:rsidRDefault="00000000" w:rsidRPr="00000000" w14:paraId="000000C4">
            <w:pPr>
              <w:spacing w:after="0" w:line="276"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5">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6 </w:t>
            </w:r>
          </w:p>
          <w:p w:rsidR="00000000" w:rsidDel="00000000" w:rsidP="00000000" w:rsidRDefault="00000000" w:rsidRPr="00000000" w14:paraId="000000C6">
            <w:pPr>
              <w:spacing w:after="0" w:line="276"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7">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3.2.14:</w:t>
            </w:r>
          </w:p>
          <w:p w:rsidR="00000000" w:rsidDel="00000000" w:rsidP="00000000" w:rsidRDefault="00000000" w:rsidRPr="00000000" w14:paraId="000000C8">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have access to a sufficient stock of spare devices that have been specified as business critical on the Order Form or elsewhere in the relevant Call-Off Contract to allow the Buyer to initiate business-critical swaps of faulty devices, or to address Dead On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rsidR="00000000" w:rsidDel="00000000" w:rsidP="00000000" w:rsidRDefault="00000000" w:rsidRPr="00000000" w14:paraId="000000C9">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the Buyer shall not Approve any DOA/DOI devices, and for the purposes of any Implementation Plan such Goods shall be deemed as not having been Delivered.”</w:t>
            </w:r>
          </w:p>
          <w:p w:rsidR="00000000" w:rsidDel="00000000" w:rsidP="00000000" w:rsidRDefault="00000000" w:rsidRPr="00000000" w14:paraId="000000CA">
            <w:pPr>
              <w:spacing w:after="0" w:line="276"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B">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7 </w:t>
            </w:r>
          </w:p>
          <w:p w:rsidR="00000000" w:rsidDel="00000000" w:rsidP="00000000" w:rsidRDefault="00000000" w:rsidRPr="00000000" w14:paraId="000000CC">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3.2.15:</w:t>
            </w:r>
          </w:p>
          <w:p w:rsidR="00000000" w:rsidDel="00000000" w:rsidP="00000000" w:rsidRDefault="00000000" w:rsidRPr="00000000" w14:paraId="000000CD">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w:t>
            </w:r>
          </w:p>
          <w:p w:rsidR="00000000" w:rsidDel="00000000" w:rsidP="00000000" w:rsidRDefault="00000000" w:rsidRPr="00000000" w14:paraId="000000CE">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access to a sufficient stock of spare components to undertake repairs to Goods in accordance with warranty requirements, and in any case to undertake required repairs within a reasonable time period; and</w:t>
            </w:r>
          </w:p>
          <w:p w:rsidR="00000000" w:rsidDel="00000000" w:rsidP="00000000" w:rsidRDefault="00000000" w:rsidRPr="00000000" w14:paraId="000000CF">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Goods are repaired or replaced under warranty, the repaired or replaced Goods shall have either the remainder of the original warranty period or where offered a full warranty period as if supplied as new under the Call-Off Contract”</w:t>
            </w:r>
          </w:p>
          <w:p w:rsidR="00000000" w:rsidDel="00000000" w:rsidP="00000000" w:rsidRDefault="00000000" w:rsidRPr="00000000" w14:paraId="000000D0">
            <w:pPr>
              <w:spacing w:after="0"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1">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8 </w:t>
            </w:r>
          </w:p>
          <w:p w:rsidR="00000000" w:rsidDel="00000000" w:rsidP="00000000" w:rsidRDefault="00000000" w:rsidRPr="00000000" w14:paraId="000000D2">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3.2.16:</w:t>
            </w:r>
          </w:p>
          <w:p w:rsidR="00000000" w:rsidDel="00000000" w:rsidP="00000000" w:rsidRDefault="00000000" w:rsidRPr="00000000" w14:paraId="000000D3">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undertaking any repairs to the Goods, the Supplier shall not replace any parts or components of the Goods with parts or components that are of lower quality or which are unsuitable for use in their designed purpose either by the Buyer or a Replacement Supplier, prior to the expiry or termination of the Call-Off Contract (howsoever arising).</w:t>
            </w:r>
          </w:p>
          <w:p w:rsidR="00000000" w:rsidDel="00000000" w:rsidP="00000000" w:rsidRDefault="00000000" w:rsidRPr="00000000" w14:paraId="000000D4">
            <w:pPr>
              <w:spacing w:after="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spacing w:after="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9</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D6">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3.2.17:</w:t>
            </w:r>
          </w:p>
          <w:p w:rsidR="00000000" w:rsidDel="00000000" w:rsidP="00000000" w:rsidRDefault="00000000" w:rsidRPr="00000000" w14:paraId="000000D7">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where a Buyer has an in-house warranty provider or technical staff who undertake warranty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repair work, the Supplier shall work with the in-house warranty provider and/or technical staff to provide any required training to enable the transfer of warranty repair work without cost or loss of service to the Buyer. Where this reduces the cost to the Supplier of providing the warranty, the Supplier shall pass such cost savings on to the Buyer”</w:t>
            </w:r>
          </w:p>
          <w:p w:rsidR="00000000" w:rsidDel="00000000" w:rsidP="00000000" w:rsidRDefault="00000000" w:rsidRPr="00000000" w14:paraId="000000D8">
            <w:pPr>
              <w:spacing w:after="0" w:line="276"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D9">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10 </w:t>
            </w:r>
          </w:p>
          <w:p w:rsidR="00000000" w:rsidDel="00000000" w:rsidP="00000000" w:rsidRDefault="00000000" w:rsidRPr="00000000" w14:paraId="000000DA">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new Clause 3.2.18:</w:t>
            </w:r>
          </w:p>
          <w:p w:rsidR="00000000" w:rsidDel="00000000" w:rsidP="00000000" w:rsidRDefault="00000000" w:rsidRPr="00000000" w14:paraId="000000DB">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there is fault in any Goods which cannot be repaired, the Supplier shall ensure and procure that any data residing in any such Goods is removed or destroyed in accordance with HMG Infosec Standard 5 baseline, or as otherwise agreed with the Buyer, at no additional cost to the Buyer, prior to such Goods being returned to any manufacturer or other third party for disposal”</w:t>
            </w:r>
          </w:p>
          <w:p w:rsidR="00000000" w:rsidDel="00000000" w:rsidP="00000000" w:rsidRDefault="00000000" w:rsidRPr="00000000" w14:paraId="000000DC">
            <w:pPr>
              <w:spacing w:after="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11</w:t>
            </w:r>
          </w:p>
          <w:p w:rsidR="00000000" w:rsidDel="00000000" w:rsidP="00000000" w:rsidRDefault="00000000" w:rsidRPr="00000000" w14:paraId="000000DE">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3.2.19</w:t>
            </w:r>
          </w:p>
          <w:p w:rsidR="00000000" w:rsidDel="00000000" w:rsidP="00000000" w:rsidRDefault="00000000" w:rsidRPr="00000000" w14:paraId="000000DF">
            <w:pPr>
              <w:spacing w:after="0" w:line="276" w:lineRule="auto"/>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has the sole option to remove and retain any hard drives or solid state drives prior to the return of Goods to the Supplier at no additional cost to the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0">
            <w:pP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12</w:t>
            </w:r>
          </w:p>
          <w:p w:rsidR="00000000" w:rsidDel="00000000" w:rsidP="00000000" w:rsidRDefault="00000000" w:rsidRPr="00000000" w14:paraId="000000E2">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3.2.20:</w:t>
            </w:r>
          </w:p>
          <w:p w:rsidR="00000000" w:rsidDel="00000000" w:rsidP="00000000" w:rsidRDefault="00000000" w:rsidRPr="00000000" w14:paraId="000000E3">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p>
          <w:p w:rsidR="00000000" w:rsidDel="00000000" w:rsidP="00000000" w:rsidRDefault="00000000" w:rsidRPr="00000000" w14:paraId="000000E4">
            <w:pPr>
              <w:spacing w:after="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13 </w:t>
            </w:r>
          </w:p>
          <w:p w:rsidR="00000000" w:rsidDel="00000000" w:rsidP="00000000" w:rsidRDefault="00000000" w:rsidRPr="00000000" w14:paraId="000000E6">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3.2.21:</w:t>
            </w:r>
          </w:p>
          <w:p w:rsidR="00000000" w:rsidDel="00000000" w:rsidP="00000000" w:rsidRDefault="00000000" w:rsidRPr="00000000" w14:paraId="000000E7">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 reasonably possible 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will have the right to reject all Goods in the affected batch and require their replacement by the Supplier at no cost to the Buyer and without prejudice to the Buyer’s right of remedies. Endemic Failure also triggers a material Default by the Supplier, entitling the Buyer to terminate the Call-Off Contract”</w:t>
            </w:r>
          </w:p>
          <w:p w:rsidR="00000000" w:rsidDel="00000000" w:rsidP="00000000" w:rsidRDefault="00000000" w:rsidRPr="00000000" w14:paraId="000000E8">
            <w:pPr>
              <w:spacing w:after="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14</w:t>
            </w:r>
          </w:p>
          <w:p w:rsidR="00000000" w:rsidDel="00000000" w:rsidP="00000000" w:rsidRDefault="00000000" w:rsidRPr="00000000" w14:paraId="000000EA">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new Clause 3.2.22:</w:t>
            </w:r>
          </w:p>
          <w:p w:rsidR="00000000" w:rsidDel="00000000" w:rsidP="00000000" w:rsidRDefault="00000000" w:rsidRPr="00000000" w14:paraId="000000EB">
            <w:pPr>
              <w:spacing w:after="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The Supplier warrants that the goods comply with the then applicable UK Electrical Equipment (Safety) Regulations unless otherwise requested by the Buyer</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EC">
            <w:pPr>
              <w:spacing w:after="0"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D">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15</w:t>
            </w:r>
          </w:p>
          <w:p w:rsidR="00000000" w:rsidDel="00000000" w:rsidP="00000000" w:rsidRDefault="00000000" w:rsidRPr="00000000" w14:paraId="000000EE">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8.7 – Delete current text and replace with:</w:t>
            </w:r>
          </w:p>
          <w:p w:rsidR="00000000" w:rsidDel="00000000" w:rsidP="00000000" w:rsidRDefault="00000000" w:rsidRPr="00000000" w14:paraId="000000EF">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assign to the Buyer, or if it is unable to do so, shall (to the extent it is legally able to do so) hold on trust for the sole benefit of the Buyer, all warranties and indemnities provided by third parties in respect of the Deliverables. Where any such warranties are held on trust, the Supplier shall enforce such warranties in accordance with any reasonable directions that the Buyer may notify from time to time to the Supplier.”</w:t>
            </w:r>
          </w:p>
          <w:p w:rsidR="00000000" w:rsidDel="00000000" w:rsidP="00000000" w:rsidRDefault="00000000" w:rsidRPr="00000000" w14:paraId="000000F0">
            <w:pPr>
              <w:spacing w:after="0" w:line="27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1">
            <w:pPr>
              <w:spacing w:after="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 16 </w:t>
            </w:r>
          </w:p>
          <w:p w:rsidR="00000000" w:rsidDel="00000000" w:rsidP="00000000" w:rsidRDefault="00000000" w:rsidRPr="00000000" w14:paraId="000000F2">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10.3.2 – Amend to read as follows:</w:t>
            </w:r>
          </w:p>
          <w:p w:rsidR="00000000" w:rsidDel="00000000" w:rsidP="00000000" w:rsidRDefault="00000000" w:rsidRPr="00000000" w14:paraId="000000F3">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Buyer has the right to terminate their Call-Off Contract at any time without reason or liability by giving the Supplier not less than 90 days' written notice and if it’s terminated Clause 10.6.1 applies and for the avoidance of doubt the Buyer shall be liable for the Supplier’s reasonable and proven costs already incurred on the cancelled order as long as the Supplier takes all reasonable steps to minimise these costs.”</w:t>
            </w:r>
          </w:p>
          <w:p w:rsidR="00000000" w:rsidDel="00000000" w:rsidP="00000000" w:rsidRDefault="00000000" w:rsidRPr="00000000" w14:paraId="000000F4">
            <w:pPr>
              <w:spacing w:after="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5">
            <w:pPr>
              <w:spacing w:after="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Special Term 17</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F6">
            <w:pPr>
              <w:spacing w:after="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11.2 – amend “£5 million” to “</w:t>
            </w:r>
            <w:r w:rsidDel="00000000" w:rsidR="00000000" w:rsidRPr="00000000">
              <w:rPr>
                <w:rFonts w:ascii="Arial" w:cs="Arial" w:eastAsia="Arial" w:hAnsi="Arial"/>
                <w:color w:val="000000"/>
                <w:sz w:val="24"/>
                <w:szCs w:val="24"/>
                <w:rtl w:val="0"/>
              </w:rPr>
              <w:t xml:space="preserve">£1 million“</w:t>
            </w:r>
            <w:r w:rsidDel="00000000" w:rsidR="00000000" w:rsidRPr="00000000">
              <w:rPr>
                <w:rtl w:val="0"/>
              </w:rPr>
            </w:r>
          </w:p>
          <w:p w:rsidR="00000000" w:rsidDel="00000000" w:rsidP="00000000" w:rsidRDefault="00000000" w:rsidRPr="00000000" w14:paraId="000000F7">
            <w:pPr>
              <w:spacing w:after="0" w:line="276" w:lineRule="auto"/>
              <w:rPr>
                <w:rFonts w:ascii="Arial" w:cs="Arial" w:eastAsia="Arial" w:hAnsi="Arial"/>
                <w:sz w:val="24"/>
                <w:szCs w:val="24"/>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F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FA">
            <w:pPr>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p w:rsidR="00000000" w:rsidDel="00000000" w:rsidP="00000000" w:rsidRDefault="00000000" w:rsidRPr="00000000" w14:paraId="000000FB">
            <w:pPr>
              <w:ind w:left="0" w:firstLine="0"/>
              <w:rPr>
                <w:rFonts w:ascii="Arial" w:cs="Arial" w:eastAsia="Arial" w:hAnsi="Arial"/>
                <w:color w:val="000000"/>
                <w:sz w:val="24"/>
                <w:szCs w:val="24"/>
              </w:rPr>
            </w:pPr>
            <w:r w:rsidDel="00000000" w:rsidR="00000000" w:rsidRPr="00000000">
              <w:rPr>
                <w:rtl w:val="0"/>
              </w:rPr>
            </w:r>
          </w:p>
        </w:tc>
      </w:tr>
      <w:tr>
        <w:trPr>
          <w:cantSplit w:val="0"/>
          <w:trHeight w:val="585" w:hRule="atLeast"/>
          <w:tblHeader w:val="0"/>
        </w:trPr>
        <w:tc>
          <w:tcPr/>
          <w:p w:rsidR="00000000" w:rsidDel="00000000" w:rsidP="00000000" w:rsidRDefault="00000000" w:rsidRPr="00000000" w14:paraId="000000F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Annex of Joint Schedule 3 (Insurance Requirements).</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color w:val="000000"/>
                <w:sz w:val="24"/>
                <w:szCs w:val="24"/>
              </w:rPr>
            </w:pP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1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Lots 1, 2, 3, 5, 6 and 7 -  Supplier to possess a current and valid Cyber Essentials Basic Certificate or Cyber Essentials Equivalent  in accordance with the RM6098 Framework procurement documentation before execution of the first Call-Off Contract awarded hereunder. </w:t>
            </w:r>
          </w:p>
          <w:p w:rsidR="00000000" w:rsidDel="00000000" w:rsidP="00000000" w:rsidRDefault="00000000" w:rsidRPr="00000000" w14:paraId="0000010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  Supplier to possess a current and valid Cyber Essentials Plus Scheme Certificate or Cyber Essentials   Equivalent in accordance with the RM6098 Framework procurement documentation before execution of the first Call-Off Contract awarded hereunder.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Framework Schedule 9 refers.</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10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08">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1% of all the Charges for the Deliverables invoiced to the Buyer under all Call-Off Contracts.</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Manager</w:t>
            </w:r>
          </w:p>
        </w:tc>
        <w:tc>
          <w:tcPr/>
          <w:p w:rsidR="00000000" w:rsidDel="00000000" w:rsidP="00000000" w:rsidRDefault="00000000" w:rsidRPr="00000000" w14:paraId="0000010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0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0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1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1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11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1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1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1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1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11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1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1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2144.4921875000005" w:hRule="atLeast"/>
          <w:tblHeader w:val="0"/>
        </w:trPr>
        <w:tc>
          <w:tcPr/>
          <w:p w:rsidR="00000000" w:rsidDel="00000000" w:rsidP="00000000" w:rsidRDefault="00000000" w:rsidRPr="00000000" w14:paraId="0000011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12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2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2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2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2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Protection Liability Cap</w:t>
            </w:r>
          </w:p>
        </w:tc>
        <w:tc>
          <w:tcPr/>
          <w:p w:rsidR="00000000" w:rsidDel="00000000" w:rsidP="00000000" w:rsidRDefault="00000000" w:rsidRPr="00000000" w14:paraId="0000012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2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12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2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2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2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3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132">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13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3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135">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136">
            <w:pPr>
              <w:spacing w:after="120" w:before="12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p>
          <w:p w:rsidR="00000000" w:rsidDel="00000000" w:rsidP="00000000" w:rsidRDefault="00000000" w:rsidRPr="00000000" w14:paraId="00000137">
            <w:pPr>
              <w:spacing w:after="120" w:before="120" w:lineRule="auto"/>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3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13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13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3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3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13F">
      <w:pPr>
        <w:pageBreakBefore w:val="0"/>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140">
      <w:pPr>
        <w:pageBreakBefore w:val="0"/>
        <w:rPr>
          <w:rFonts w:ascii="Arial" w:cs="Arial" w:eastAsia="Arial" w:hAnsi="Arial"/>
          <w:i w:val="0"/>
          <w:sz w:val="24"/>
          <w:szCs w:val="24"/>
        </w:rPr>
      </w:pPr>
      <w:r w:rsidDel="00000000" w:rsidR="00000000" w:rsidRPr="00000000">
        <w:rPr>
          <w:rtl w:val="0"/>
        </w:rPr>
      </w:r>
    </w:p>
    <w:tbl>
      <w:tblPr>
        <w:tblStyle w:val="Table5"/>
        <w:tblW w:w="9170.000000000002" w:type="dxa"/>
        <w:jc w:val="left"/>
        <w:tblInd w:w="-10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4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4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CCS:</w:t>
            </w:r>
          </w:p>
        </w:tc>
      </w:tr>
      <w:tr>
        <w:trPr>
          <w:cantSplit w:val="0"/>
          <w:trHeight w:val="635" w:hRule="atLeast"/>
          <w:tblHeader w:val="0"/>
        </w:trPr>
        <w:tc>
          <w:tcPr/>
          <w:p w:rsidR="00000000" w:rsidDel="00000000" w:rsidP="00000000" w:rsidRDefault="00000000" w:rsidRPr="00000000" w14:paraId="0000014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4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4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4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4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4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4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4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5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5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bookmarkStart w:colFirst="0" w:colLast="0" w:name="bookmark=id.30j0zll" w:id="4"/>
    <w:bookmarkEnd w:id="4"/>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92"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5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E">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F">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6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Framework Award Form RM6098</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644" w:hanging="359.9999999999998"/>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7">
    <w:lvl w:ilvl="0">
      <w:start w:val="1"/>
      <w:numFmt w:val="bullet"/>
      <w:lvlText w:val="o"/>
      <w:lvlJc w:val="left"/>
      <w:pPr>
        <w:ind w:left="1440" w:hanging="360"/>
      </w:pPr>
      <w:rPr>
        <w:rFonts w:ascii="Courier New" w:cs="Courier New" w:eastAsia="Courier New" w:hAnsi="Courier New"/>
        <w:shd w:fill="auto" w:val="clear"/>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8">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pPr>
      <w:suppressAutoHyphens w:val="1"/>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pPr>
      <w:numPr>
        <w:numId w:val="1"/>
      </w:numPr>
    </w:pPr>
  </w:style>
  <w:style w:type="paragraph" w:styleId="Level1Heading" w:customStyle="1">
    <w:name w:val="Level 1 Heading"/>
    <w:basedOn w:val="BodyText"/>
    <w:next w:val="Normal"/>
    <w:pPr>
      <w:keepNext w:val="1"/>
      <w:tabs>
        <w:tab w:val="left" w:pos="-1342"/>
      </w:tabs>
      <w:suppressAutoHyphens w:val="0"/>
      <w:spacing w:after="200" w:before="360" w:line="360" w:lineRule="auto"/>
      <w:textAlignment w:val="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textAlignment w:val="auto"/>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textAlignment w:val="auto"/>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1"/>
      </w:numPr>
      <w:suppressAutoHyphens w:val="0"/>
      <w:spacing w:after="0" w:line="240" w:lineRule="auto"/>
      <w:textAlignment w:val="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textAlignment w:val="auto"/>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textAlignment w:val="auto"/>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numPr>
        <w:numId w:val="12"/>
      </w:numPr>
      <w:tabs>
        <w:tab w:val="clear" w:pos="1985"/>
        <w:tab w:val="clear" w:pos="3402"/>
        <w:tab w:val="left" w:pos="24049"/>
        <w:tab w:val="left" w:pos="25466"/>
        <w:tab w:val="left" w:pos="26317"/>
      </w:tabs>
    </w:pPr>
  </w:style>
  <w:style w:type="paragraph" w:styleId="Style1" w:customStyle="1">
    <w:name w:val="Style1"/>
    <w:basedOn w:val="ListParagraph"/>
    <w:pPr>
      <w:numPr>
        <w:numId w:val="10"/>
      </w:numPr>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pPr>
      <w:textAlignment w:val="auto"/>
    </w:pPr>
    <w:rPr>
      <w:sz w:val="22"/>
      <w:szCs w:val="22"/>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numPr>
        <w:numId w:val="13"/>
      </w:numPr>
      <w:tabs>
        <w:tab w:val="clear" w:pos="-576"/>
        <w:tab w:val="left" w:pos="-2316"/>
        <w:tab w:val="left" w:pos="-2100"/>
      </w:tabs>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textAlignment w:val="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8Number" w:customStyle="1">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textAlignment w:val="auto"/>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pPr>
      <w:numPr>
        <w:numId w:val="2"/>
      </w:numPr>
    </w:pPr>
  </w:style>
  <w:style w:type="numbering" w:styleId="WWOutlineListStyle6" w:customStyle="1">
    <w:name w:val="WW_OutlineListStyle_6"/>
    <w:basedOn w:val="NoList"/>
    <w:pPr>
      <w:numPr>
        <w:numId w:val="3"/>
      </w:numPr>
    </w:pPr>
  </w:style>
  <w:style w:type="numbering" w:styleId="WWOutlineListStyle5" w:customStyle="1">
    <w:name w:val="WW_OutlineListStyle_5"/>
    <w:basedOn w:val="NoList"/>
    <w:pPr>
      <w:numPr>
        <w:numId w:val="4"/>
      </w:numPr>
    </w:pPr>
  </w:style>
  <w:style w:type="numbering" w:styleId="WWOutlineListStyle4" w:customStyle="1">
    <w:name w:val="WW_OutlineListStyle_4"/>
    <w:basedOn w:val="NoList"/>
    <w:pPr>
      <w:numPr>
        <w:numId w:val="5"/>
      </w:numPr>
    </w:pPr>
  </w:style>
  <w:style w:type="numbering" w:styleId="WWOutlineListStyle3" w:customStyle="1">
    <w:name w:val="WW_OutlineListStyle_3"/>
    <w:basedOn w:val="NoList"/>
    <w:pPr>
      <w:numPr>
        <w:numId w:val="6"/>
      </w:numPr>
    </w:pPr>
  </w:style>
  <w:style w:type="numbering" w:styleId="WWOutlineListStyle2" w:customStyle="1">
    <w:name w:val="WW_OutlineListStyle_2"/>
    <w:basedOn w:val="NoList"/>
    <w:pPr>
      <w:numPr>
        <w:numId w:val="7"/>
      </w:numPr>
    </w:pPr>
  </w:style>
  <w:style w:type="numbering" w:styleId="WWOutlineListStyle1" w:customStyle="1">
    <w:name w:val="WW_OutlineListStyle_1"/>
    <w:basedOn w:val="NoList"/>
    <w:pPr>
      <w:numPr>
        <w:numId w:val="8"/>
      </w:numPr>
    </w:pPr>
  </w:style>
  <w:style w:type="numbering" w:styleId="WWOutlineListStyle" w:customStyle="1">
    <w:name w:val="WW_OutlineListStyle"/>
    <w:basedOn w:val="NoList"/>
    <w:pPr>
      <w:numPr>
        <w:numId w:val="9"/>
      </w:numPr>
    </w:pPr>
  </w:style>
  <w:style w:type="numbering" w:styleId="LFO7" w:customStyle="1">
    <w:name w:val="LFO7"/>
    <w:basedOn w:val="NoList"/>
    <w:pPr>
      <w:numPr>
        <w:numId w:val="10"/>
      </w:numPr>
    </w:pPr>
  </w:style>
  <w:style w:type="numbering" w:styleId="LFO9" w:customStyle="1">
    <w:name w:val="LFO9"/>
    <w:basedOn w:val="NoList"/>
    <w:pPr>
      <w:numPr>
        <w:numId w:val="11"/>
      </w:numPr>
    </w:pPr>
  </w:style>
  <w:style w:type="numbering" w:styleId="LFO10" w:customStyle="1">
    <w:name w:val="LFO10"/>
    <w:basedOn w:val="NoList"/>
    <w:pPr>
      <w:numPr>
        <w:numId w:val="12"/>
      </w:numPr>
    </w:pPr>
  </w:style>
  <w:style w:type="numbering" w:styleId="LFO12" w:customStyle="1">
    <w:name w:val="LFO12"/>
    <w:basedOn w:val="NoList"/>
    <w:pPr>
      <w:numPr>
        <w:numId w:val="13"/>
      </w:numPr>
    </w:pPr>
  </w:style>
  <w:style w:type="numbering" w:styleId="LFO13" w:customStyle="1">
    <w:name w:val="LFO13"/>
    <w:basedOn w:val="NoList"/>
    <w:pPr>
      <w:numPr>
        <w:numId w:val="14"/>
      </w:numPr>
    </w:pPr>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blStylePr>
    <w:tblStylePr w:type="band1Vert">
      <w:tcPr/>
    </w:tblStylePr>
    <w:tblStylePr w:type="band2Horz">
      <w:tcPr/>
    </w:tblStylePr>
    <w:tblStylePr w:type="band2Vert">
      <w:tcPr/>
    </w:tblStylePr>
    <w:tblStylePr w:type="firstCol">
      <w:rPr>
        <w:b w:val="1"/>
      </w:rPr>
      <w:tcPr/>
    </w:tblStylePr>
    <w:tblStylePr w:type="firstRow">
      <w:pPr>
        <w:spacing w:after="0" w:before="0" w:line="240" w:lineRule="auto"/>
      </w:pPr>
      <w:rPr>
        <w:b w:val="1"/>
        <w:color w:val="ffffff"/>
      </w:rPr>
      <w:tcPr>
        <w:shd w:fill="000000" w:val="clear"/>
      </w:tcPr>
    </w:tblStylePr>
    <w:tblStylePr w:type="lastCol">
      <w:rPr>
        <w:b w:val="1"/>
      </w:rPr>
      <w:tcPr/>
    </w:tblStylePr>
    <w:tblStylePr w:type="lastRow">
      <w:pPr>
        <w:spacing w:after="0" w:before="0" w:line="240" w:lineRule="auto"/>
      </w:pPr>
      <w:rPr>
        <w:b w:val="1"/>
      </w:rPr>
      <w:tcPr/>
    </w:tblStylePr>
    <w:tblStylePr w:type="neCell">
      <w:tcPr/>
    </w:tblStylePr>
    <w:tblStylePr w:type="nwCell">
      <w:tcPr/>
    </w:tblStylePr>
    <w:tblStylePr w:type="seCell">
      <w:tcPr/>
    </w:tblStylePr>
    <w:tblStylePr w:type="swCell">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blStylePr>
  </w:style>
  <w:style w:type="table" w:styleId="Table4">
    <w:basedOn w:val="TableNormal"/>
    <w:rPr>
      <w:color w:val="366091"/>
    </w:rPr>
    <w:tblPr>
      <w:tblStyleRowBandSize w:val="1"/>
      <w:tblStyleColBandSize w:val="1"/>
      <w:tblCellMar>
        <w:top w:w="0.0" w:type="dxa"/>
        <w:left w:w="108.0" w:type="dxa"/>
        <w:bottom w:w="0.0" w:type="dxa"/>
        <w:right w:w="108.0" w:type="dxa"/>
      </w:tblCellMar>
    </w:tblPr>
  </w:style>
  <w:style w:type="table" w:styleId="Table5">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aZoRdhdjvDrWiTLPSeWcCH7xjQ==">AMUW2mX1ENgkkflp+O2mGuAZeWluzq2f+3pZrj/Qn/UI5zUcDUMAvPrWpsf3TO0RkQJ1TNJnw/41gCH/74aj2Vw8Z0FOodi/s7eZCPhDfbbZWpmubhfgw5IgIT1NMdLIDDKX62zJEJWatQIiOIHD/Qc8fY2hZIlI69WRK7xO5ynPW852X3eiYKLa6GEn0cPRvrHT0atf9AElDcZKumZFeTj+dxL1wBcZRm4GMnFk9oJnXFhnZliTjCKUj78DTns+oFzJvVTzRnVQ3lgyrktgSMyijSmQ63lfOq3HRoI+53Qe9b7zDUpj9hOz1f0cq5B/Vp6LPcz7QlAhnN8WZbuNvYuQhDHIXCUV62yAJbUB9bXZqwEOoJwIi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2020-12-22T17:10:00Z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